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庆祝五周年，答题奖奖奖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答题人：               身份证号：                 手机号：</w:t>
      </w: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选择题（每题10分，满分100分。请将你认为最满意的答案序号填写在后面的答题卡上，拍照成图片在2021年3月19日24点前发至981225353@qq.com邮箱）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圣弘建设股份（陕西）有限公司成立于（       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2003年6月25日   B  2015年1月19日  C  2016年7月19日  D  2016年1月19日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圣弘建设股份（陕西）有限公司现拥有在职人员（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35人   B  120人  C  约120人  D  500人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圣弘建设股份有限公司拥有的监理、造价咨询、招标代理资质级别分别是（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 监理14甲 造价咨询甲级 招标代理甲级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B  监理综合资质 造价咨询甲级 招标代理（甲）级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  监理综合甲级资质 造价咨询甲级 招标代理资质无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  监理综合资质 造价咨询乙级 招标代理资质无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圣弘建设股份（陕西）有限公司是入陕时间（      ）的公司，规模最（    ）的公司。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稍早 大   B  最早 大  C  最早 稍大   D 不早，小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圣弘建设股份（陕西）有限公司是外省入陕公司中监理资质最（    ）的公司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多而高   B  多而大  C  高而全  D  多而大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圣弘建设股份（陕西）有限公司位于西安市雁塔区（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 电子三路西京园区A幢904室       B  电子四路西京园区A幢904室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  电子三路西京电气总公司904室      D  电子三路西京电气总公司A幢904室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圣弘建设股份（陕西）有限公司截至2021年1月19日，在陕注册的造价师、监理工程师有近（     ）位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20位   B  15位   C  40位  D  30位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圣弘建设股份（陕西）有限公司监理业务所拥有的业绩类别，除了房建和市政外，最多的还有（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农林 电力    B  铁路 矿山    C  石油化工   D  航天 核工业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圣弘建设股份（陕西）有限公司在陕从事的主要业务有（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工程监理 造价咨询 招标代理   B  造价咨询 司法鉴定   C 全过程咨询 项目管理    D  招标代理 政府采购招标代理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10、圣弘陕西的网站和公众号名分别是（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 http//shh029.com  陕西圣弘    B  http//shh029.com  圣弘陕西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 http//sh029.cn  圣弘陕西       D  http//shh.029.com  圣弘陕西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庆祝五周年，答题奖奖奖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 题 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答题人：               身份证号：                 手机号：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2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D94404"/>
    <w:multiLevelType w:val="singleLevel"/>
    <w:tmpl w:val="D8D944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2D61"/>
    <w:rsid w:val="03FB512C"/>
    <w:rsid w:val="464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2021-01-19T03:34:00Z</dcterms:created>
  <dc:creator>造价招标双甲 监理综合～圣弘</dc:creator>
  <cp:lastModifiedBy>造价招标双甲 监理综合～圣弘</cp:lastModifiedBy>
  <dcterms:modified xsi:type="dcterms:W3CDTF">2021-01-20T07:55:21Z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